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RR.02/2019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mięsa CPV 15.11.00.00-2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Mięsa </w:t>
      </w:r>
      <w:r>
        <w:rPr>
          <w:rFonts w:cs="Arial" w:ascii="Arial" w:hAnsi="Arial"/>
          <w:b/>
          <w:sz w:val="24"/>
          <w:szCs w:val="24"/>
        </w:rPr>
        <w:t>CPV 15.11.00.00-2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mięsa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RR.02/2019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RR.02/201</w:t>
      </w:r>
      <w:r>
        <w:rPr>
          <w:rFonts w:cs="Arial" w:ascii="Arial" w:hAnsi="Arial"/>
          <w:szCs w:val="24"/>
        </w:rPr>
        <w:t>9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30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mięsa </w:t>
      </w:r>
      <w:r>
        <w:rPr>
          <w:b/>
        </w:rPr>
        <w:t>CPV 15.11.00.00-2.</w:t>
      </w:r>
      <w:r>
        <w:rPr/>
        <w:t xml:space="preserve">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RR.02/2019                                                                                                               </w:t>
      <w:tab/>
      <w:t xml:space="preserve"> Dostawa mięsa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231-398B-41D5-BCC4-0946501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LibreOffice/5.2.4.2$Windows_x86 LibreOffice_project/3d5603e1122f0f102b62521720ab13a38a4e0eb0</Application>
  <Pages>12</Pages>
  <Words>3204</Words>
  <Characters>22580</Characters>
  <CharactersWithSpaces>26363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2017-12-05T10:03:00Z</dcterms:created>
  <dc:creator>Mirosław Gąsiorowski-</dc:creator>
  <dc:description/>
  <dc:language>pl-PL</dc:language>
  <cp:lastModifiedBy/>
  <cp:lastPrinted>2017-12-05T09:53:00Z</cp:lastPrinted>
  <dcterms:modified xsi:type="dcterms:W3CDTF">2019-07-03T13:10:45Z</dcterms:modified>
  <cp:revision>9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