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RR.09/201</w:t>
      </w:r>
      <w:r>
        <w:rPr>
          <w:rFonts w:cs="Arial" w:ascii="Arial" w:hAnsi="Arial"/>
          <w:sz w:val="24"/>
          <w:szCs w:val="24"/>
        </w:rPr>
        <w:t>9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wędlin CPV 15.13.12.00-7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 xml:space="preserve">Zamawiający zastrzega sobie prawo zmniejszenia lub zwiększenia dostaw o </w:t>
      </w:r>
      <w:r>
        <w:rPr>
          <w:rFonts w:cs="Arial" w:ascii="Arial" w:hAnsi="Arial"/>
          <w:color w:val="00000A"/>
          <w:szCs w:val="24"/>
        </w:rPr>
        <w:t>3</w:t>
      </w:r>
      <w:r>
        <w:rPr>
          <w:rFonts w:cs="Arial" w:ascii="Arial" w:hAnsi="Arial"/>
          <w:color w:val="00000A"/>
          <w:szCs w:val="24"/>
        </w:rPr>
        <w:t>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Wspólny Słownik Zamówień (CPV): Wędliny </w:t>
      </w:r>
      <w:r>
        <w:rPr>
          <w:rFonts w:cs="Arial" w:ascii="Arial" w:hAnsi="Arial"/>
          <w:b/>
          <w:sz w:val="24"/>
          <w:szCs w:val="24"/>
        </w:rPr>
        <w:t>CPV 15.13.12.00-7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201</w:t>
      </w:r>
      <w:r>
        <w:rPr>
          <w:rFonts w:cs="Arial" w:ascii="Arial" w:hAnsi="Arial"/>
          <w:b/>
          <w:szCs w:val="24"/>
        </w:rPr>
        <w:t>9</w:t>
      </w:r>
      <w:r>
        <w:rPr>
          <w:rFonts w:cs="Arial" w:ascii="Arial" w:hAnsi="Arial"/>
          <w:b/>
          <w:szCs w:val="24"/>
        </w:rPr>
        <w:t>r. do dnia 31 sierpnia 20</w:t>
      </w:r>
      <w:r>
        <w:rPr>
          <w:rFonts w:cs="Arial" w:ascii="Arial" w:hAnsi="Arial"/>
          <w:b/>
          <w:szCs w:val="24"/>
        </w:rPr>
        <w:t>20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wędlin</w:t>
      </w:r>
      <w:r>
        <w:rPr>
          <w:rFonts w:cs="Arial" w:ascii="Arial" w:hAnsi="Arial"/>
          <w:sz w:val="24"/>
          <w:szCs w:val="24"/>
        </w:rPr>
        <w:t xml:space="preserve">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RR.09/201</w:t>
      </w:r>
      <w:r>
        <w:rPr>
          <w:rFonts w:cs="Arial" w:ascii="Arial" w:hAnsi="Arial"/>
          <w:b w:val="false"/>
          <w:sz w:val="24"/>
          <w:szCs w:val="24"/>
        </w:rPr>
        <w:t>9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3</w:t>
      </w:r>
      <w:r>
        <w:rPr>
          <w:rFonts w:cs="Arial" w:ascii="Arial" w:hAnsi="Arial"/>
          <w:b w:val="false"/>
          <w:bCs w:val="false"/>
          <w:sz w:val="24"/>
          <w:szCs w:val="24"/>
        </w:rPr>
        <w:t>0</w:t>
      </w:r>
      <w:r>
        <w:rPr>
          <w:rFonts w:cs="Arial" w:ascii="Arial" w:hAnsi="Arial"/>
          <w:b w:val="false"/>
          <w:bCs w:val="false"/>
          <w:sz w:val="24"/>
          <w:szCs w:val="24"/>
        </w:rPr>
        <w:t>.07.201</w:t>
      </w:r>
      <w:r>
        <w:rPr>
          <w:rFonts w:cs="Arial" w:ascii="Arial" w:hAnsi="Arial"/>
          <w:b w:val="false"/>
          <w:bCs w:val="false"/>
          <w:sz w:val="24"/>
          <w:szCs w:val="24"/>
        </w:rPr>
        <w:t>9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>.07.201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>.07.201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RR.09/201</w:t>
      </w:r>
      <w:r>
        <w:rPr>
          <w:rFonts w:cs="Arial" w:ascii="Arial" w:hAnsi="Arial"/>
          <w:szCs w:val="24"/>
        </w:rPr>
        <w:t>9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bookmarkStart w:id="0" w:name="_GoBack"/>
      <w:bookmarkEnd w:id="0"/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>
        <w:rPr>
          <w:rFonts w:cs="Arial" w:ascii="Arial" w:hAnsi="Arial"/>
          <w:b/>
          <w:bCs/>
          <w:sz w:val="24"/>
          <w:szCs w:val="24"/>
        </w:rPr>
        <w:t xml:space="preserve">wędlin </w:t>
      </w:r>
      <w:r>
        <w:rPr>
          <w:rFonts w:cs="Arial" w:ascii="Arial" w:hAnsi="Arial"/>
          <w:b/>
          <w:sz w:val="24"/>
          <w:szCs w:val="24"/>
        </w:rPr>
        <w:t>CPV 15.13.12.00-7.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/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Termin obowiązywania umowy od dnia 1 września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  do dnia 31 sierpnia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Zamawiający dopuszcza zmianę cen jednostkowych netto w okresach kwartalnych począwszy od 1 stycznia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 w dniach 01.01.20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r., 01.04.20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r., 01.04.20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 xml:space="preserve">Zamawiający zastrzega sobie prawo zmniejszenia lub zwiększenia zamawianych dostaw o 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</w:t>
      </w:r>
      <w:r>
        <w:rPr>
          <w:b/>
          <w:bCs/>
          <w:lang w:eastAsia="pl-PL"/>
        </w:rPr>
        <w:t xml:space="preserve">wędlin </w:t>
      </w:r>
      <w:r>
        <w:rPr>
          <w:b/>
        </w:rPr>
        <w:t>CPV 15.13.12.00-7.</w:t>
      </w:r>
      <w:r>
        <w:rPr/>
        <w:t xml:space="preserve"> do Zespołu Szkolnego w Cegłowie w roku szkolnym 201</w:t>
      </w:r>
      <w:r>
        <w:rPr/>
        <w:t>9</w:t>
      </w:r>
      <w:r>
        <w:rPr/>
        <w:t>/20</w:t>
      </w:r>
      <w:r>
        <w:rPr/>
        <w:t>20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cs="Arial" w:ascii="Arial" w:hAnsi="Arial"/>
          <w:b/>
          <w:bCs/>
          <w:sz w:val="24"/>
          <w:szCs w:val="24"/>
        </w:rPr>
        <w:t xml:space="preserve">wędlin </w:t>
      </w:r>
      <w:r>
        <w:rPr>
          <w:rFonts w:cs="Arial" w:ascii="Arial" w:hAnsi="Arial"/>
          <w:b/>
          <w:sz w:val="24"/>
          <w:szCs w:val="24"/>
        </w:rPr>
        <w:t>CPV 15.13.12.00-7.</w:t>
      </w:r>
      <w:r>
        <w:rPr>
          <w:rFonts w:cs="Arial" w:ascii="Arial" w:hAnsi="Arial"/>
          <w:sz w:val="24"/>
          <w:szCs w:val="24"/>
        </w:rPr>
        <w:t>do Zespołu Szkolnego w Cegłowie w roku szkolnym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/20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RR.09/201</w:t>
    </w:r>
    <w:r>
      <w:rPr>
        <w:rFonts w:cs="Arial" w:ascii="Arial" w:hAnsi="Arial"/>
        <w:b/>
      </w:rPr>
      <w:t>9</w:t>
    </w:r>
    <w:r>
      <w:rPr>
        <w:rFonts w:cs="Arial" w:ascii="Arial" w:hAnsi="Arial"/>
        <w:b/>
      </w:rPr>
      <w:t xml:space="preserve">                                                                                                               </w:t>
      <w:tab/>
      <w:t xml:space="preserve"> Dostawa wędlin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4650-80FC-43E5-A640-27728136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LibreOffice/5.2.4.2$Windows_x86 LibreOffice_project/3d5603e1122f0f102b62521720ab13a38a4e0eb0</Application>
  <Pages>12</Pages>
  <Words>3204</Words>
  <Characters>22589</Characters>
  <CharactersWithSpaces>26370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2017-12-05T12:09:00Z</dcterms:created>
  <dc:creator>Mirosław Gąsiorowski-</dc:creator>
  <dc:description/>
  <dc:language>pl-PL</dc:language>
  <cp:lastModifiedBy/>
  <cp:lastPrinted>2017-12-05T09:53:00Z</cp:lastPrinted>
  <dcterms:modified xsi:type="dcterms:W3CDTF">2019-07-04T09:35:30Z</dcterms:modified>
  <cp:revision>7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